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30.png" ContentType="image/png"/>
  <Override PartName="/word/media/rId41.png" ContentType="image/png"/>
  <Override PartName="/word/media/rId36.png" ContentType="image/png"/>
  <Override PartName="/word/media/rId29.png" ContentType="image/png"/>
  <Override PartName="/word/media/rId42.png" ContentType="image/png"/>
  <Override PartName="/word/media/rId48.png" ContentType="image/png"/>
  <Override PartName="/word/media/rId51.png" ContentType="image/png"/>
  <Override PartName="/word/media/rId46.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58" w:name="social-and-economic-impacts"/>
    <w:p>
      <w:pPr>
        <w:pStyle w:val="Heading1"/>
      </w:pPr>
      <w:r>
        <w:t xml:space="preserve">Social and economic impacts</w:t>
      </w:r>
    </w:p>
    <w:bookmarkStart w:id="45" w:name="Xb06e32eb51d3c886b0284ac9ae11a0050f89d6e"/>
    <w:p>
      <w:pPr>
        <w:pStyle w:val="Heading2"/>
      </w:pPr>
      <w:r>
        <w:t xml:space="preserve">Criterion 1: Improved NDT capacity and capability</w:t>
      </w:r>
    </w:p>
    <w:p>
      <w:pPr>
        <w:pStyle w:val="FirstParagraph"/>
      </w:pPr>
    </w:p>
    <w:p>
      <w:pPr>
        <w:pStyle w:val="BodyText"/>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(RT-D, PAUT, TOFD, PEC, etc), in addition to the conventional methods (RT, UT, MT, PT, ET); and</w:t>
      </w:r>
    </w:p>
    <w:p>
      <w:pPr>
        <w:numPr>
          <w:ilvl w:val="0"/>
          <w:numId w:val="1001"/>
        </w:numPr>
      </w:pPr>
      <w:r>
        <w:t xml:space="preserve">Achieve self-reliance in NDT, including offering training and inspection activities to local industries as well as abroad.</w:t>
      </w:r>
    </w:p>
    <w:p>
      <w:pPr>
        <w:pStyle w:val="FirstParagraph"/>
      </w:pPr>
      <w:r>
        <w:t xml:space="preserve">Key results of this assessment are summarized in Table XXX below.</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307,700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r>
        <w:t xml:space="preserve"> </w:t>
      </w:r>
      <w:r>
        <w:t xml:space="preserve">Moreover, figure</w:t>
      </w:r>
      <w:r>
        <w:t xml:space="preserve"> </w:t>
      </w:r>
      <w:r>
        <w:t xml:space="preserve">2</w:t>
      </w:r>
      <w:r>
        <w:t xml:space="preserve"> </w:t>
      </w:r>
      <w:r>
        <w:t xml:space="preserve">below shows the performance standards of the impact of NDT RCA on the GPs’ capacity and capability in NDT. Further details on he criterion and standards for this dimension are presented in Annex E.</w:t>
      </w:r>
    </w:p>
    <w:p>
      <w:pPr>
        <w:pStyle w:val="CaptionedFigure"/>
      </w:pPr>
      <w:r>
        <w:drawing>
          <wp:inline>
            <wp:extent cx="5219700" cy="2007576"/>
            <wp:effectExtent b="0" l="0" r="0" t="0"/>
            <wp:docPr descr="Figure 2: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2: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3"/>
      </w:pPr>
      <w:r>
        <w:t xml:space="preserve">Sub-criterion 1.1: Fulfillment of the Multilateral Recognition Agreement</w:t>
      </w:r>
    </w:p>
    <w:p>
      <w:pPr>
        <w:pStyle w:val="FirstParagraph"/>
      </w:pPr>
      <w:r>
        <w:t xml:space="preserve">An excellent performance standard for this dimension is defined as the extent to which a GP has fulfilled the MRA requirements of ICNDT and the status of the NDT infrastructure at the national level.</w:t>
      </w:r>
    </w:p>
    <w:bookmarkStart w:id="31" w:name="X6a458c8cc9e514e0aed9e9bbfdcf5993ef2451d"/>
    <w:p>
      <w:pPr>
        <w:pStyle w:val="Heading4"/>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Figure</w:t>
      </w:r>
      <w:r>
        <w:t xml:space="preserve"> </w:t>
      </w:r>
      <w:r>
        <w:t xml:space="preserve">3</w:t>
      </w:r>
      <w:r>
        <w:t xml:space="preserve"> </w:t>
      </w:r>
      <w:r>
        <w:t xml:space="preserve">shows the level of NDT infrastructure that each GP has established and the performance standards for this dimension. 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performance standards on this dimension. (See criterion and standards in Annex E)</w:t>
      </w:r>
    </w:p>
    <w:p>
      <w:pPr>
        <w:pStyle w:val="CaptionedFigure"/>
      </w:pPr>
      <w:r>
        <w:drawing>
          <wp:inline>
            <wp:extent cx="5219700" cy="4874668"/>
            <wp:effectExtent b="0" l="0" r="0" t="0"/>
            <wp:docPr descr="Figure 3: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3: NDT infrastructure at the national level and assessment standards.</w:t>
      </w:r>
    </w:p>
    <w:bookmarkEnd w:id="31"/>
    <w:bookmarkStart w:id="32" w:name="Xade1396ae2de4dd53659d9e67adb18e523bfbd7"/>
    <w:p>
      <w:pPr>
        <w:pStyle w:val="Heading4"/>
      </w:pPr>
      <w:r>
        <w:t xml:space="preserve">Contribution of the NDT RCA in GP’s establishing a NCB and NCS</w:t>
      </w:r>
    </w:p>
    <w:p>
      <w:pPr>
        <w:pStyle w:val="FirstParagraph"/>
      </w:pPr>
      <w:r>
        <w:t xml:space="preserve">To assess the contribution of RCA in the establishment of NCBs and National Certification Schemes, the participants of the online survey were asked whether their Government Party has established a National Certification scheme and a National Certification Body (NCB) and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p>
      <w:pPr>
        <w:pStyle w:val="BodyText"/>
      </w:pPr>
    </w:p>
    <w:bookmarkEnd w:id="32"/>
    <w:bookmarkEnd w:id="33"/>
    <w:bookmarkStart w:id="38" w:name="X19734b1fccad1a5c6e5197971e99de276869763"/>
    <w:p>
      <w:pPr>
        <w:pStyle w:val="Heading3"/>
      </w:pPr>
      <w:r>
        <w:t xml:space="preserve">Sub-criterion 1.2: NDT infrastructure to produce certified personnel</w:t>
      </w:r>
    </w:p>
    <w:p>
      <w:pPr>
        <w:pStyle w:val="FirstParagraph"/>
      </w:pPr>
      <w:r>
        <w:t xml:space="preserve">This section presents the findings on the extent to which the NDT RCA has supported GPs in establishing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w:t>
      </w:r>
    </w:p>
    <w:bookmarkStart w:id="35" w:name="Xe6a276487a088a4b9f35ada538d4828348a6041"/>
    <w:p>
      <w:pPr>
        <w:pStyle w:val="Heading4"/>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According to the methodology of the evaluation, an excellent performance for this dimension is given if the RCA NDT programme has enabled a GP to produce certified personnel in all conventional and advance techniques, a good and adequate performance is considered if the support has enabled to produce certified personnel in all conventional or at least one conventional technique respectively.</w:t>
      </w:r>
    </w:p>
    <w:p>
      <w:pPr>
        <w:pStyle w:val="BodyText"/>
      </w:pPr>
      <w:r>
        <w:t xml:space="preserve">Figure</w:t>
      </w:r>
      <w:r>
        <w:t xml:space="preserve"> </w:t>
      </w:r>
      <w:r>
        <w:t xml:space="preserve">4</w:t>
      </w:r>
      <w:r>
        <w:t xml:space="preserve"> </w:t>
      </w:r>
      <w:r>
        <w:t xml:space="preserve">shows that based on this criteria,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4: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Personnel certified by methods: standards for self-reliance</w:t>
      </w:r>
    </w:p>
    <w:bookmarkEnd w:id="35"/>
    <w:bookmarkStart w:id="37" w:name="X27fa5e251c1e8e3f66ea8687ceda0b2594f17b1"/>
    <w:p>
      <w:pPr>
        <w:pStyle w:val="Heading4"/>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307,700 personnel by local NDT Accredited Training Centres in 15</w:t>
      </w:r>
      <w:r>
        <w:t xml:space="preserve"> </w:t>
      </w:r>
      <w:r>
        <w:t xml:space="preserve">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1,003</w:t>
            </w:r>
          </w:p>
        </w:tc>
        <w:tc>
          <w:p>
            <w:pPr>
              <w:pStyle w:val="Compact"/>
              <w:jc w:val="left"/>
            </w:pPr>
            <w:r>
              <w:t xml:space="preserve">20,060</w:t>
            </w:r>
          </w:p>
        </w:tc>
        <w:tc>
          <w:p>
            <w:pPr>
              <w:pStyle w:val="Compact"/>
              <w:jc w:val="left"/>
            </w:pPr>
            <w:r>
              <w:t xml:space="preserve">9.73%</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15,385</w:t>
            </w:r>
          </w:p>
        </w:tc>
        <w:tc>
          <w:p>
            <w:pPr>
              <w:pStyle w:val="Compact"/>
              <w:jc w:val="left"/>
            </w:pPr>
            <w:r>
              <w:t xml:space="preserve">307,700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5</w:t>
      </w:r>
      <w:r>
        <w:t xml:space="preserve"> </w:t>
      </w:r>
      <w:r>
        <w:t xml:space="preserve">below.</w:t>
      </w:r>
    </w:p>
    <w:p>
      <w:pPr>
        <w:pStyle w:val="CaptionedFigure"/>
      </w:pPr>
      <w:r>
        <w:drawing>
          <wp:inline>
            <wp:extent cx="5219700" cy="4015153"/>
            <wp:effectExtent b="0" l="0" r="0" t="0"/>
            <wp:docPr descr="Figure 5: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5: Number personnel that was certified by local NDT training centers as a result of participating in RCA NDT.</w:t>
      </w:r>
    </w:p>
    <w:bookmarkEnd w:id="37"/>
    <w:bookmarkEnd w:id="38"/>
    <w:bookmarkStart w:id="44" w:name="sub-criterion-1.3-self-reliance-in-ndt"/>
    <w:p>
      <w:pPr>
        <w:pStyle w:val="Heading3"/>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bookmarkStart w:id="40" w:name="X6d13d27103899ab38739e3e771112567dd9842b"/>
    <w:p>
      <w:pPr>
        <w:pStyle w:val="Heading4"/>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6</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6: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GP’s inspection and training centers: standards for self-reliance</w:t>
      </w:r>
    </w:p>
    <w:bookmarkEnd w:id="40"/>
    <w:bookmarkStart w:id="43"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p>
      <w:pPr>
        <w:pStyle w:val="BodyText"/>
      </w:pPr>
    </w:p>
    <w:p>
      <w:pPr>
        <w:pStyle w:val="BodyText"/>
      </w:pPr>
      <w:r>
        <w:t xml:space="preserve">Figure</w:t>
      </w:r>
      <w:r>
        <w:t xml:space="preserve"> </w:t>
      </w:r>
      <w:r>
        <w:t xml:space="preserve">7</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7: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1"/>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7: Number of inspection centres by type of ownership and country</w:t>
      </w: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p>
      <w:r>
        <w:br w:type="page"/>
      </w:r>
    </w:p>
    <w:bookmarkEnd w:id="43"/>
    <w:bookmarkEnd w:id="44"/>
    <w:bookmarkEnd w:id="45"/>
    <w:bookmarkStart w:id="55" w:name="Xefc9ca6e5f20989e39cb5cfb849c2c83a141d3c"/>
    <w:p>
      <w:pPr>
        <w:pStyle w:val="Heading2"/>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aims to understand the extent to which the support of the NDT programme has contributed to the enhancement of:</w:t>
      </w:r>
    </w:p>
    <w:p>
      <w:pPr>
        <w:numPr>
          <w:ilvl w:val="0"/>
          <w:numId w:val="1002"/>
        </w:numPr>
        <w:pStyle w:val="Compact"/>
      </w:pPr>
      <w:r>
        <w:t xml:space="preserve">Awareness, interest, and application of NDT technology in the industrial sectors for the QA and QC of industrial components; and</w:t>
      </w:r>
    </w:p>
    <w:p>
      <w:pPr>
        <w:numPr>
          <w:ilvl w:val="0"/>
          <w:numId w:val="1002"/>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90%</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tc>
      </w:tr>
    </w:tbl>
    <w:p>
      <w:pPr>
        <w:pStyle w:val="BodyText"/>
      </w:pPr>
      <w:r>
        <w:t xml:space="preserve"> </w:t>
      </w:r>
      <w:r>
        <w:t xml:space="preserve">Moreover, figure</w:t>
      </w:r>
      <w:r>
        <w:t xml:space="preserve"> </w:t>
      </w:r>
      <w:r>
        <w:t xml:space="preserve">??</w:t>
      </w:r>
      <w:r>
        <w:t xml:space="preserve"> </w:t>
      </w:r>
      <w:r>
        <w:t xml:space="preserve">below shows the performance standards of the impact of NDT RCA programme on the increased scope and scale of NDT demand and use of the Government Parties. Further details on he criterion and standards for this dimension are presented in Annex E.</w:t>
      </w:r>
    </w:p>
    <w:p>
      <w:pPr>
        <w:pStyle w:val="BodyText"/>
      </w:pPr>
      <w:r>
        <w:t xml:space="preserve">The detailed analysis of each sub-criterion under improved NDT capacity and capability is presented in the sections below.</w:t>
      </w:r>
    </w:p>
    <w:bookmarkStart w:id="50" w:name="X8e7e80672bdecace14ca1bfdff0e8d3ee89c97f"/>
    <w:p>
      <w:pPr>
        <w:pStyle w:val="Heading3"/>
      </w:pPr>
      <w:r>
        <w:t xml:space="preserve">Sub-criterion 2.1: Awareness, interest, and application</w:t>
      </w:r>
    </w:p>
    <w:p>
      <w:pPr>
        <w:pStyle w:val="FirstParagraph"/>
      </w:pPr>
      <w:r>
        <w:t xml:space="preserve">This sub-criterion explores the extent into which participation in the RCA programme results in GPs</w:t>
      </w:r>
      <w:r>
        <w:t xml:space="preserve"> </w:t>
      </w:r>
      <w:r>
        <w:rPr>
          <w:bCs/>
          <w:b/>
        </w:rPr>
        <w:t xml:space="preserve">applying NDT technology</w:t>
      </w:r>
      <w:r>
        <w:t xml:space="preserve"> </w:t>
      </w:r>
      <w:r>
        <w:t xml:space="preserve">in the industrial sectors for the QA and QC of industrial components: achieving better controlled manufacturing, lower production costs, ensuring material quality, and/or greater product integrity.</w:t>
      </w:r>
    </w:p>
    <w:bookmarkStart w:id="47" w:name="X9e8c199ba7e3e2024bbc8979020e17b559c372d"/>
    <w:p>
      <w:pPr>
        <w:pStyle w:val="Heading4"/>
      </w:pPr>
      <w:r>
        <w:t xml:space="preserve">Performance standards of</w:t>
      </w:r>
      <w:r>
        <w:t xml:space="preserve"> </w:t>
      </w:r>
      <w:r>
        <w:t xml:space="preserve">“</w:t>
      </w:r>
      <w:r>
        <w:t xml:space="preserve">Awareness, interest, and application of NDT technologies</w:t>
      </w:r>
      <w:r>
        <w:t xml:space="preserve">”</w:t>
      </w:r>
    </w:p>
    <w:p>
      <w:pPr>
        <w:pStyle w:val="FirstParagraph"/>
      </w:pPr>
      <w:r>
        <w:t xml:space="preserve">An</w:t>
      </w:r>
      <w:r>
        <w:t xml:space="preserve"> </w:t>
      </w:r>
      <w:r>
        <w:rPr>
          <w:iCs/>
          <w:i/>
        </w:rPr>
        <w:t xml:space="preserve">excellent</w:t>
      </w:r>
      <w:r>
        <w:t xml:space="preserve"> </w:t>
      </w:r>
      <w:r>
        <w:t xml:space="preserve">performance in terms of Awareness, interest, and application of NDT technologies is considered if participating in the RCA programme results in GPs applying NDT technology in the industrial sectors for the QA and QC of industrial components - achieving better controlled manufacturing, lower production costs, ensuring material quality, and/or greater product integrity-; a</w:t>
      </w:r>
      <w:r>
        <w:t xml:space="preserve"> </w:t>
      </w:r>
      <w:r>
        <w:rPr>
          <w:iCs/>
          <w:i/>
        </w:rPr>
        <w:t xml:space="preserve">good</w:t>
      </w:r>
      <w:r>
        <w:t xml:space="preserve"> </w:t>
      </w:r>
      <w:r>
        <w:t xml:space="preserve">performance is met if as a result of being part of the NDT RCA programme, GPs become more concerned and interested into applying NDT technology in the industrial sectors; and an</w:t>
      </w:r>
      <w:r>
        <w:t xml:space="preserve"> </w:t>
      </w:r>
      <w:r>
        <w:rPr>
          <w:iCs/>
          <w:i/>
        </w:rPr>
        <w:t xml:space="preserve">adequate</w:t>
      </w:r>
      <w:r>
        <w:t xml:space="preserve"> </w:t>
      </w:r>
      <w:r>
        <w:t xml:space="preserve">standard is when the NDT RCA programme has contributed to GPs initiating activities to create awareness among industrial organisations about the benefits of NDT technology for QA and QC.</w:t>
      </w:r>
    </w:p>
    <w:p>
      <w:pPr>
        <w:pStyle w:val="BodyText"/>
      </w:pPr>
      <w:r>
        <w:t xml:space="preserve">Bangladesh, China, Malaysia, Pakistan, Philippines, South Korea, Sri Lanka, Thailand, and Vietnam are considered to have met an excellent performance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(All the positive improvements by country and industrial sector is presented in the next section). Moreover, these nine GPs have taken actions to create awareness among industrial organisations about the benefits of NDT technology. For all these GPS, being part of the RCA NDT programme has also contributed to increase the concern/interest about applying NDT technologies for Quality Assurance and Quality Control in their industrial sector.</w:t>
      </w:r>
    </w:p>
    <w:p>
      <w:pPr>
        <w:pStyle w:val="BodyText"/>
      </w:pPr>
      <w:r>
        <w:t xml:space="preserve">Figure</w:t>
      </w:r>
      <w:r>
        <w:t xml:space="preserve"> </w:t>
      </w:r>
      <w:r>
        <w:t xml:space="preserve">9</w:t>
      </w:r>
      <w:r>
        <w:t xml:space="preserve"> </w:t>
      </w:r>
      <w:r>
        <w:t xml:space="preserve">shows the criterion and standards for this sub-dimension. The detailed methodology and criteria is presented in Annex E.</w:t>
      </w:r>
    </w:p>
    <w:p>
      <w:pPr>
        <w:pStyle w:val="CaptionedFigure"/>
      </w:pPr>
      <w:r>
        <w:drawing>
          <wp:inline>
            <wp:extent cx="5219700" cy="4874668"/>
            <wp:effectExtent b="0" l="0" r="0" t="0"/>
            <wp:docPr descr="Figure 9: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9: Performance standards: Awareness, interest, and application of NDT technology in the industrial sectors for the QA and QC of industrial components</w:t>
      </w:r>
    </w:p>
    <w:p>
      <w:pPr>
        <w:pStyle w:val="BodyText"/>
      </w:pPr>
      <w:r>
        <w:t xml:space="preserve">** level practice (practice_level)</w:t>
      </w:r>
    </w:p>
    <w:p>
      <w:pPr>
        <w:pStyle w:val="BodyText"/>
      </w:pPr>
      <w:r>
        <w:t xml:space="preserve">** productivity (table based on idicators clean/practice.rds)</w:t>
      </w:r>
    </w:p>
    <w:bookmarkEnd w:id="47"/>
    <w:bookmarkStart w:id="49" w:name="Xba5272a617ebed6b41098a90e0f77dc7fdd9c68"/>
    <w:p>
      <w:pPr>
        <w:pStyle w:val="Heading4"/>
      </w:pPr>
      <w:r>
        <w:t xml:space="preserve">Contribution of the NDT RCA in Awareness, interest, and application of NDT technologies</w:t>
      </w:r>
    </w:p>
    <w:p>
      <w:pPr>
        <w:pStyle w:val="FirstParagraph"/>
      </w:pPr>
      <w:r>
        <w:t xml:space="preserve">Table</w:t>
      </w:r>
      <w:r>
        <w:t xml:space="preserve"> </w:t>
      </w:r>
      <w:r>
        <w:t xml:space="preserve">4</w:t>
      </w:r>
      <w:r>
        <w:t xml:space="preserve"> </w:t>
      </w:r>
      <w:r>
        <w:t xml:space="preserve">shows that nine of the GPs have taken actions to create awareness among industrial organisations about the benefits of NDT technology for Quality Assurance and Quality Control. The table also shows the of actions taken by these GPs.</w:t>
      </w:r>
    </w:p>
    <w:p>
      <w:pPr>
        <w:pStyle w:val="TableCaption"/>
      </w:pPr>
      <w:r>
        <w:t xml:space="preserve">Table 4: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4: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to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r>
        <w:t xml:space="preserve"> </w:t>
      </w:r>
      <w:r>
        <w:t xml:space="preserve">Figure</w:t>
      </w:r>
      <w:r>
        <w:t xml:space="preserve"> </w:t>
      </w:r>
      <w:r>
        <w:t xml:space="preserve">10</w:t>
      </w:r>
      <w:r>
        <w:t xml:space="preserve"> </w:t>
      </w:r>
      <w:r>
        <w:t xml:space="preserve">shows the number of industrial sectors in which NDT technology has been applied for quality control and quality assurance.</w:t>
      </w:r>
    </w:p>
    <w:p>
      <w:pPr>
        <w:pStyle w:val="CaptionedFigure"/>
      </w:pPr>
      <w:r>
        <w:drawing>
          <wp:inline>
            <wp:extent cx="4719781" cy="3629890"/>
            <wp:effectExtent b="0" l="0" r="0" t="0"/>
            <wp:docPr descr="Figure 10: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48"/>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10: Number of industrial sectors in which NDT technology has been applied by GP</w:t>
      </w:r>
    </w:p>
    <w:p>
      <w:pPr>
        <w:pStyle w:val="BodyText"/>
      </w:pPr>
      <w:r>
        <w:t xml:space="preserve"> </w:t>
      </w:r>
      <w:r>
        <w:t xml:space="preserve">The table below displays the extent to which the introduced NDT technology by the RCA programme led to improved manufacturing processes, lower production costs, enhanced material quality, and greater product integrity in each industrial sector.</w:t>
      </w:r>
      <w:r>
        <w:t xml:space="preserve"> </w:t>
      </w:r>
      <w:r>
        <w:rPr>
          <w:iCs/>
          <w:i/>
        </w:rPr>
        <w:t xml:space="preserve">For some countries, the information is incomplete because they did not provide this information in the online survey</w:t>
      </w:r>
    </w:p>
    <w:p>
      <w:pPr>
        <w:pStyle w:val="TableCaption"/>
      </w:pPr>
      <w:r>
        <w:t xml:space="preserve">Table 5: Extent to which the introduced NDT technology by the RCA programme led to improved manufacturing processes</w:t>
      </w:r>
    </w:p>
    <w:tbl>
      <w:tblPr>
        <w:tblStyle w:val="Table"/>
        <w:tblW w:type="pct" w:w="5000.0"/>
        <w:tblLook w:firstRow="1" w:lastRow="0" w:firstColumn="0" w:lastColumn="0" w:noHBand="0" w:noVBand="0" w:val="0020"/>
        <w:tblCaption w:val="Table 5: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p>
      <w:pPr>
        <w:pStyle w:val="BodyText"/>
      </w:pPr>
    </w:p>
    <w:bookmarkEnd w:id="49"/>
    <w:bookmarkEnd w:id="50"/>
    <w:bookmarkStart w:id="54" w:name="X8caf9a9b9c2d90daedb8a4266bf7cd35a823f7d"/>
    <w:p>
      <w:pPr>
        <w:pStyle w:val="Heading3"/>
      </w:pPr>
      <w:r>
        <w:t xml:space="preserve">Sub-criterion 2.2: Research and Development</w:t>
      </w:r>
    </w:p>
    <w:p>
      <w:pPr>
        <w:pStyle w:val="FirstParagraph"/>
      </w:pPr>
      <w:r>
        <w:t xml:space="preserve">An</w:t>
      </w:r>
      <w:r>
        <w:t xml:space="preserve"> </w:t>
      </w:r>
      <w:r>
        <w:rPr>
          <w:iCs/>
          <w:i/>
        </w:rPr>
        <w:t xml:space="preserve">“</w:t>
      </w:r>
      <w:r>
        <w:rPr>
          <w:iCs/>
          <w:i/>
        </w:rPr>
        <w:t xml:space="preserve">excellent</w:t>
      </w:r>
      <w:r>
        <w:rPr>
          <w:iCs/>
          <w:i/>
        </w:rPr>
        <w:t xml:space="preserve">”</w:t>
      </w:r>
      <w:r>
        <w:t xml:space="preserve"> </w:t>
      </w:r>
      <w:r>
        <w:t xml:space="preserve">performance of this sub-criterion is considered if as a result of participating in the NDT RCA programme, GPs have managed to support the utilisation of the technology by industry and disseminate the knowledge developed through R&amp;D by publishing research articles, organising international and national seminars and conferences; a</w:t>
      </w:r>
      <w:r>
        <w:t xml:space="preserve"> </w:t>
      </w:r>
      <w:r>
        <w:rPr>
          <w:iCs/>
          <w:i/>
        </w:rPr>
        <w:t xml:space="preserve">“</w:t>
      </w:r>
      <w:r>
        <w:rPr>
          <w:iCs/>
          <w:i/>
        </w:rPr>
        <w:t xml:space="preserve">good</w:t>
      </w:r>
      <w:r>
        <w:rPr>
          <w:iCs/>
          <w:i/>
        </w:rPr>
        <w:t xml:space="preserve">”</w:t>
      </w:r>
      <w:r>
        <w:t xml:space="preserve"> </w:t>
      </w:r>
      <w:r>
        <w:t xml:space="preserve">performance is met if the support of the NDT RCA programme has enable GPs to have successfully applied the NDT technology to local industry, and established R&amp;D activities; and an</w:t>
      </w:r>
      <w:r>
        <w:t xml:space="preserve"> </w:t>
      </w:r>
      <w:r>
        <w:rPr>
          <w:iCs/>
          <w:i/>
        </w:rPr>
        <w:t xml:space="preserve">adequate</w:t>
      </w:r>
      <w:r>
        <w:t xml:space="preserve"> </w:t>
      </w:r>
      <w:r>
        <w:t xml:space="preserve">performance means that the GPs have successfully managed to train personnel in the introduced NDT technology.</w:t>
      </w:r>
    </w:p>
    <w:bookmarkStart w:id="52" w:name="Xf6cf560c069a18235b32518499f3f754cfba8ed"/>
    <w:p>
      <w:pPr>
        <w:pStyle w:val="Heading4"/>
      </w:pPr>
      <w:r>
        <w:t xml:space="preserve">Performance standards of</w:t>
      </w:r>
      <w:r>
        <w:t xml:space="preserve"> </w:t>
      </w:r>
      <w:r>
        <w:t xml:space="preserve">“</w:t>
      </w:r>
      <w:r>
        <w:t xml:space="preserve">Research and Development</w:t>
      </w:r>
      <w:r>
        <w:t xml:space="preserve">”</w:t>
      </w:r>
    </w:p>
    <w:p>
      <w:pPr>
        <w:pStyle w:val="CaptionedFigure"/>
      </w:pPr>
      <w:r>
        <w:drawing>
          <wp:inline>
            <wp:extent cx="5219700" cy="4874668"/>
            <wp:effectExtent b="0" l="0" r="0" t="0"/>
            <wp:docPr descr="Figure 11: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11: Performance standards: Research and Development</w:t>
      </w:r>
    </w:p>
    <w:p>
      <w:pPr>
        <w:pStyle w:val="BodyText"/>
      </w:pPr>
      <w:r>
        <w:t xml:space="preserve">Adequate:</w:t>
      </w:r>
      <w:r>
        <w:t xml:space="preserve"> </w:t>
      </w:r>
      <w:r>
        <w:t xml:space="preserve">8.1. How many people in %country% have been trained in NDT under the RCA NDT programme? (rd_train)</w:t>
      </w:r>
    </w:p>
    <w:p>
      <w:pPr>
        <w:pStyle w:val="BodyText"/>
      </w:pPr>
      <w:r>
        <w:t xml:space="preserve">Good:</w:t>
      </w:r>
      <w:r>
        <w:t xml:space="preserve"> </w:t>
      </w:r>
      <w:r>
        <w:t xml:space="preserve">GP established R&amp;D activities on NDT technology (rd_act)</w:t>
      </w:r>
    </w:p>
    <w:p>
      <w:pPr>
        <w:pStyle w:val="BodyText"/>
      </w:pPr>
      <w:r>
        <w:t xml:space="preserve">Excellent:</w:t>
      </w:r>
      <w:r>
        <w:t xml:space="preserve"> </w:t>
      </w:r>
      <w:r>
        <w:t xml:space="preserve">8.4 On average, how many publications related to NDT have been published annually since 2000 in %country% as a result of being part of the RCA NDT programme? (rd_publications)</w:t>
      </w:r>
    </w:p>
    <w:p>
      <w:pPr>
        <w:pStyle w:val="BodyText"/>
      </w:pPr>
      <w:r>
        <w:t xml:space="preserve">8.5 On average, how many seminars/conferences related to NDT have been organised annually since 2000 in %country% as a result of being part of the RCA NDT programme? (rd_seminars)</w:t>
      </w:r>
    </w:p>
    <w:bookmarkEnd w:id="52"/>
    <w:bookmarkStart w:id="53" w:name="Xbc6a6f8b8f398c25fc0c18991fa2a5629c45caf"/>
    <w:p>
      <w:pPr>
        <w:pStyle w:val="Heading4"/>
      </w:pPr>
      <w:r>
        <w:t xml:space="preserve">Contribution of the NDT RCA in Research and Development</w:t>
      </w:r>
    </w:p>
    <w:p>
      <w:pPr>
        <w:pStyle w:val="FirstParagraph"/>
      </w:pPr>
      <w:r>
        <w:t xml:space="preserve">what extent have the trainings from the RCA NDT programme enabled or promoted the initiation of R&amp;D activities related to NDT in %country%? (rd_acttrain)</w:t>
      </w:r>
    </w:p>
    <w:bookmarkEnd w:id="53"/>
    <w:bookmarkEnd w:id="54"/>
    <w:bookmarkEnd w:id="55"/>
    <w:bookmarkStart w:id="56" w:name="criterion-3-improved-health-and-safety"/>
    <w:p>
      <w:pPr>
        <w:pStyle w:val="Heading2"/>
      </w:pPr>
      <w:r>
        <w:t xml:space="preserve">Criterion 3: Improved health and safety</w:t>
      </w:r>
    </w:p>
    <w:p>
      <w:r>
        <w:br w:type="page"/>
      </w:r>
    </w:p>
    <w:bookmarkEnd w:id="56"/>
    <w:bookmarkStart w:id="57" w:name="economic-value-aaron"/>
    <w:p>
      <w:pPr>
        <w:pStyle w:val="Heading2"/>
      </w:pPr>
      <w:r>
        <w:t xml:space="preserve">Economic value (Aaron)</w:t>
      </w:r>
    </w:p>
    <w:p>
      <w:r>
        <w:br w:type="page"/>
      </w:r>
    </w:p>
    <w:bookmarkEnd w:id="57"/>
    <w:bookmarkEnd w:id="58"/>
    <w:bookmarkStart w:id="59" w:name="conclusion"/>
    <w:p>
      <w:pPr>
        <w:pStyle w:val="Heading1"/>
      </w:pPr>
      <w:r>
        <w:t xml:space="preserve">Conclusion</w:t>
      </w:r>
    </w:p>
    <w:bookmarkEnd w:id="59"/>
    <w:bookmarkStart w:id="60" w:name="annex-case-studies"/>
    <w:p>
      <w:pPr>
        <w:pStyle w:val="Heading1"/>
      </w:pPr>
      <w:r>
        <w:t xml:space="preserve">Annex: Case studies</w:t>
      </w:r>
    </w:p>
    <w:bookmarkEnd w:id="60"/>
    <w:bookmarkStart w:id="65" w:name="annex-b-survey-analysis"/>
    <w:p>
      <w:pPr>
        <w:pStyle w:val="Heading1"/>
      </w:pPr>
      <w:r>
        <w:t xml:space="preserve">Annex B: Survey Analysis</w:t>
      </w:r>
    </w:p>
    <w:bookmarkStart w:id="61"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61"/>
    <w:bookmarkStart w:id="62"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6: Table 1: Key evidence for criterion 1</w:t>
      </w:r>
    </w:p>
    <w:tbl>
      <w:tblPr>
        <w:tblStyle w:val="Table"/>
        <w:tblW w:type="pct" w:w="5000.0"/>
        <w:tblLook w:firstRow="1" w:lastRow="0" w:firstColumn="0" w:lastColumn="0" w:noHBand="0" w:noVBand="0" w:val="0020"/>
        <w:tblCaption w:val="Table 6: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62"/>
    <w:bookmarkStart w:id="63"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6: Table 1: Key evidence for criterion 2</w:t>
      </w:r>
    </w:p>
    <w:tbl>
      <w:tblPr>
        <w:tblStyle w:val="Table"/>
        <w:tblW w:type="pct" w:w="5000.0"/>
        <w:tblLook w:firstRow="1" w:lastRow="0" w:firstColumn="0" w:lastColumn="0" w:noHBand="0" w:noVBand="0" w:val="0020"/>
        <w:tblCaption w:val="Table 6: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63"/>
    <w:bookmarkStart w:id="64"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64"/>
    <w:bookmarkEnd w:id="65"/>
    <w:bookmarkStart w:id="66" w:name="annex-c-economic-analysis"/>
    <w:p>
      <w:pPr>
        <w:pStyle w:val="Heading1"/>
      </w:pPr>
      <w:r>
        <w:t xml:space="preserve">Annex C: Economic Analysis</w:t>
      </w:r>
    </w:p>
    <w:bookmarkEnd w:id="66"/>
    <w:bookmarkStart w:id="67" w:name="annex-d-theory-of-change"/>
    <w:p>
      <w:pPr>
        <w:pStyle w:val="Heading1"/>
      </w:pPr>
      <w:r>
        <w:t xml:space="preserve">Annex D: Theory of Change</w:t>
      </w:r>
    </w:p>
    <w:bookmarkEnd w:id="67"/>
    <w:bookmarkStart w:id="68"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3"/>
              </w:numPr>
              <w:jc w:val="left"/>
            </w:pPr>
            <w:r>
              <w:t xml:space="preserve">NDT Society is registered with APFNDT and ICNDT</w:t>
            </w:r>
          </w:p>
          <w:p>
            <w:pPr>
              <w:numPr>
                <w:ilvl w:val="0"/>
                <w:numId w:val="1003"/>
              </w:numPr>
              <w:jc w:val="left"/>
            </w:pPr>
            <w:r>
              <w:t xml:space="preserve">The society is a signatory to ICNDT MRA</w:t>
            </w:r>
          </w:p>
          <w:p>
            <w:pPr>
              <w:numPr>
                <w:ilvl w:val="0"/>
                <w:numId w:val="1003"/>
              </w:numPr>
              <w:jc w:val="left"/>
            </w:pPr>
            <w:r>
              <w:t xml:space="preserve">NCB for NDT accredited to ISO 17024</w:t>
            </w:r>
          </w:p>
          <w:p>
            <w:pPr>
              <w:numPr>
                <w:ilvl w:val="0"/>
                <w:numId w:val="1003"/>
              </w:numPr>
              <w:jc w:val="left"/>
            </w:pPr>
            <w:r>
              <w:t xml:space="preserve">NCB accepted for registration under the ICNDT MRA</w:t>
            </w:r>
          </w:p>
          <w:p>
            <w:pPr>
              <w:numPr>
                <w:ilvl w:val="0"/>
                <w:numId w:val="1003"/>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4"/>
              </w:numPr>
              <w:jc w:val="left"/>
            </w:pPr>
            <w:r>
              <w:t xml:space="preserve">NDT Society has been established</w:t>
            </w:r>
          </w:p>
          <w:p>
            <w:pPr>
              <w:numPr>
                <w:ilvl w:val="0"/>
                <w:numId w:val="1004"/>
              </w:numPr>
              <w:jc w:val="left"/>
            </w:pPr>
            <w:r>
              <w:t xml:space="preserve">National certification body on NDT has been established.</w:t>
            </w:r>
          </w:p>
          <w:p>
            <w:pPr>
              <w:numPr>
                <w:ilvl w:val="0"/>
                <w:numId w:val="1004"/>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8"/>
    <w:bookmarkStart w:id="69" w:name="work-cited"/>
    <w:p>
      <w:pPr>
        <w:pStyle w:val="Heading1"/>
      </w:pPr>
      <w:r>
        <w:t xml:space="preserve">Work cited</w:t>
      </w:r>
    </w:p>
    <w:bookmarkEnd w:id="69"/>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2021-09-08T10:58:22Z</dcterms:created>
  <dcterms:modified xsi:type="dcterms:W3CDTF">2021-09-08T10:58:22Z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